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ED" w:rsidRPr="000E62ED" w:rsidRDefault="000E62ED" w:rsidP="000E62ED">
      <w:pPr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0E62ED">
        <w:rPr>
          <w:rFonts w:ascii="Arial" w:hAnsi="Arial" w:cs="Arial"/>
          <w:b/>
          <w:sz w:val="48"/>
          <w:szCs w:val="48"/>
        </w:rPr>
        <w:t xml:space="preserve">О мерах по сохранению памяти </w:t>
      </w:r>
      <w:proofErr w:type="spellStart"/>
      <w:r w:rsidRPr="000E62ED">
        <w:rPr>
          <w:rFonts w:ascii="Arial" w:hAnsi="Arial" w:cs="Arial"/>
          <w:b/>
          <w:sz w:val="48"/>
          <w:szCs w:val="48"/>
        </w:rPr>
        <w:t>новомучеников</w:t>
      </w:r>
      <w:proofErr w:type="spellEnd"/>
      <w:r w:rsidRPr="000E62ED">
        <w:rPr>
          <w:rFonts w:ascii="Arial" w:hAnsi="Arial" w:cs="Arial"/>
          <w:b/>
          <w:sz w:val="48"/>
          <w:szCs w:val="48"/>
        </w:rPr>
        <w:t>, исповедников и всех невинно от богоборцев в годы гонений пострадавших</w:t>
      </w:r>
    </w:p>
    <w:p w:rsidR="006017EB" w:rsidRPr="00075CA6" w:rsidRDefault="00075CA6" w:rsidP="00075CA6">
      <w:pPr>
        <w:spacing w:before="240"/>
        <w:rPr>
          <w:rStyle w:val="a9"/>
          <w:rFonts w:cs="Arial"/>
          <w:color w:val="000000"/>
          <w:szCs w:val="28"/>
          <w:shd w:val="clear" w:color="auto" w:fill="FFFFFF"/>
        </w:rPr>
      </w:pPr>
      <w:r w:rsidRPr="00075CA6">
        <w:rPr>
          <w:rStyle w:val="a9"/>
          <w:rFonts w:cs="Arial"/>
          <w:color w:val="000000"/>
          <w:szCs w:val="28"/>
          <w:shd w:val="clear" w:color="auto" w:fill="FFFFFF"/>
        </w:rPr>
        <w:t>Документ принят 2 февраля 2011 года Архиерейским Собором Русской Православной Церкви</w:t>
      </w:r>
    </w:p>
    <w:p w:rsidR="003110F4" w:rsidRDefault="00075CA6" w:rsidP="00075CA6">
      <w:pPr>
        <w:ind w:firstLine="0"/>
        <w:jc w:val="center"/>
        <w:rPr>
          <w:rStyle w:val="a9"/>
          <w:rFonts w:cs="Arial"/>
          <w:color w:val="000000"/>
          <w:szCs w:val="28"/>
          <w:shd w:val="clear" w:color="auto" w:fill="FFFFFF"/>
        </w:rPr>
      </w:pPr>
      <w:r>
        <w:rPr>
          <w:rStyle w:val="a9"/>
          <w:rFonts w:cs="Arial"/>
          <w:color w:val="000000"/>
          <w:szCs w:val="28"/>
          <w:shd w:val="clear" w:color="auto" w:fill="FFFFFF"/>
        </w:rPr>
        <w:t>___________________________________</w:t>
      </w:r>
    </w:p>
    <w:p w:rsidR="00075CA6" w:rsidRDefault="00075CA6" w:rsidP="00075CA6">
      <w:pPr>
        <w:rPr>
          <w:lang w:eastAsia="ru-RU"/>
        </w:rPr>
      </w:pPr>
    </w:p>
    <w:p w:rsidR="00075CA6" w:rsidRPr="00075CA6" w:rsidRDefault="00075CA6" w:rsidP="00075CA6">
      <w:pPr>
        <w:rPr>
          <w:lang w:eastAsia="ru-RU"/>
        </w:rPr>
      </w:pPr>
      <w:bookmarkStart w:id="0" w:name="_GoBack"/>
      <w:bookmarkEnd w:id="0"/>
      <w:r w:rsidRPr="00075CA6">
        <w:rPr>
          <w:lang w:eastAsia="ru-RU"/>
        </w:rPr>
        <w:t>За прошедшие годы Русской Православной Церковью собраны многочисленные свидетельства о христианах, пострадавших в гонениях за веру Христову в XX веке. Накоплен обширный материал, позволяющий объективно оценить ситуацию того времени, подвести ее исторический итог.</w:t>
      </w:r>
    </w:p>
    <w:p w:rsidR="00075CA6" w:rsidRPr="00075CA6" w:rsidRDefault="00075CA6" w:rsidP="00075CA6">
      <w:pPr>
        <w:rPr>
          <w:lang w:eastAsia="ru-RU"/>
        </w:rPr>
      </w:pPr>
      <w:r w:rsidRPr="00075CA6">
        <w:rPr>
          <w:lang w:eastAsia="ru-RU"/>
        </w:rPr>
        <w:t xml:space="preserve">Русская Православная Церковь почитает святость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исповедников, утверждая их особый вклад во вселенское Православие. Благодаря их жертвенному свидетельству о Христе в Православии вновь в небывалых масштабах, сопоставимых с гонениями первых веков христианства, был явлен подвиг мученичества и </w:t>
      </w:r>
      <w:proofErr w:type="spellStart"/>
      <w:r w:rsidRPr="00075CA6">
        <w:rPr>
          <w:lang w:eastAsia="ru-RU"/>
        </w:rPr>
        <w:t>исповедничества</w:t>
      </w:r>
      <w:proofErr w:type="spellEnd"/>
      <w:r w:rsidRPr="00075CA6">
        <w:rPr>
          <w:lang w:eastAsia="ru-RU"/>
        </w:rPr>
        <w:t>, на котором возрастала христианская Церковь. Духовные плоды этого подвига должны быть усвоены нашим обществом.</w:t>
      </w:r>
    </w:p>
    <w:p w:rsidR="00075CA6" w:rsidRPr="00075CA6" w:rsidRDefault="00075CA6" w:rsidP="00075CA6">
      <w:pPr>
        <w:rPr>
          <w:lang w:eastAsia="ru-RU"/>
        </w:rPr>
      </w:pPr>
      <w:r w:rsidRPr="00075CA6">
        <w:rPr>
          <w:lang w:eastAsia="ru-RU"/>
        </w:rPr>
        <w:t>В то же время Церковь помнит не только прославленных ею святых, но и всех невинных жертв репрессий, призывая общество сохранить память об этих трагических страницах истории.</w:t>
      </w:r>
    </w:p>
    <w:p w:rsidR="00075CA6" w:rsidRPr="00075CA6" w:rsidRDefault="00075CA6" w:rsidP="00075CA6">
      <w:pPr>
        <w:rPr>
          <w:lang w:eastAsia="ru-RU"/>
        </w:rPr>
      </w:pPr>
      <w:r w:rsidRPr="00075CA6">
        <w:rPr>
          <w:lang w:eastAsia="ru-RU"/>
        </w:rPr>
        <w:t>Русская Православная Церковь считает своим долгом неустанно напоминать, что богоборчество и ненависть, в том числе социальная, являлись движущей силой репрессий, совершенных в годы революции, гражданской войны и всего трагического ХХ века в разных странах, входящих в каноническую территорию Московского Патриархата.</w:t>
      </w:r>
    </w:p>
    <w:p w:rsidR="00075CA6" w:rsidRPr="00075CA6" w:rsidRDefault="00075CA6" w:rsidP="00075CA6">
      <w:pPr>
        <w:rPr>
          <w:lang w:eastAsia="ru-RU"/>
        </w:rPr>
      </w:pPr>
      <w:r w:rsidRPr="00075CA6">
        <w:rPr>
          <w:lang w:eastAsia="ru-RU"/>
        </w:rPr>
        <w:t xml:space="preserve">Подвиг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 свидетельствует об их противостоянии богоборчеству, а не государству как таковому. Опираясь на опыт своих святых, Церковь убеждена, что в годы гонений верующие подвергались репрессиям, прежде всего за исповедание веры, верность Господу Иисусу Христу и Его Церкви, а также каноническому строю Православия.</w:t>
      </w:r>
    </w:p>
    <w:p w:rsidR="00075CA6" w:rsidRPr="00075CA6" w:rsidRDefault="00075CA6" w:rsidP="00075CA6">
      <w:pPr>
        <w:rPr>
          <w:lang w:eastAsia="ru-RU"/>
        </w:rPr>
      </w:pPr>
      <w:r w:rsidRPr="00075CA6">
        <w:rPr>
          <w:lang w:eastAsia="ru-RU"/>
        </w:rPr>
        <w:t xml:space="preserve">Для того чтобы память о </w:t>
      </w:r>
      <w:proofErr w:type="spellStart"/>
      <w:r w:rsidRPr="00075CA6">
        <w:rPr>
          <w:lang w:eastAsia="ru-RU"/>
        </w:rPr>
        <w:t>новомучениках</w:t>
      </w:r>
      <w:proofErr w:type="spellEnd"/>
      <w:r w:rsidRPr="00075CA6">
        <w:rPr>
          <w:lang w:eastAsia="ru-RU"/>
        </w:rPr>
        <w:t xml:space="preserve"> укреплялась в нашем обществе как пример стояния в вере, Церковь призывает умножить усилия для распространения в народе почитания святых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Церковь считает своевременным возведение храмов и часовен в честь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исповедников, особенно там, где они служили или пострадали.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Епархиальным архиереям следует озаботиться совершением </w:t>
      </w:r>
      <w:proofErr w:type="spellStart"/>
      <w:r w:rsidRPr="00075CA6">
        <w:rPr>
          <w:lang w:eastAsia="ru-RU"/>
        </w:rPr>
        <w:t>бденных</w:t>
      </w:r>
      <w:proofErr w:type="spellEnd"/>
      <w:r w:rsidRPr="00075CA6">
        <w:rPr>
          <w:lang w:eastAsia="ru-RU"/>
        </w:rPr>
        <w:t xml:space="preserve">, </w:t>
      </w:r>
      <w:proofErr w:type="spellStart"/>
      <w:r w:rsidRPr="00075CA6">
        <w:rPr>
          <w:lang w:eastAsia="ru-RU"/>
        </w:rPr>
        <w:t>полиелейных</w:t>
      </w:r>
      <w:proofErr w:type="spellEnd"/>
      <w:r w:rsidRPr="00075CA6">
        <w:rPr>
          <w:lang w:eastAsia="ru-RU"/>
        </w:rPr>
        <w:t xml:space="preserve"> и </w:t>
      </w:r>
      <w:proofErr w:type="spellStart"/>
      <w:r w:rsidRPr="00075CA6">
        <w:rPr>
          <w:lang w:eastAsia="ru-RU"/>
        </w:rPr>
        <w:t>славословных</w:t>
      </w:r>
      <w:proofErr w:type="spellEnd"/>
      <w:r w:rsidRPr="00075CA6">
        <w:rPr>
          <w:lang w:eastAsia="ru-RU"/>
        </w:rPr>
        <w:t xml:space="preserve"> служб </w:t>
      </w:r>
      <w:proofErr w:type="spellStart"/>
      <w:r w:rsidRPr="00075CA6">
        <w:rPr>
          <w:lang w:eastAsia="ru-RU"/>
        </w:rPr>
        <w:t>новомученикам</w:t>
      </w:r>
      <w:proofErr w:type="spellEnd"/>
      <w:r w:rsidRPr="00075CA6">
        <w:rPr>
          <w:lang w:eastAsia="ru-RU"/>
        </w:rPr>
        <w:t xml:space="preserve"> и исповедникам в местах их служения и мученических подвигов. Кроме того, епархиальным архиереям надлежит определить даты и места соборного служения духовенства епархий или отдельных благочиний, дабы усилить местное почитание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Во всех епархиях Русской Православной Церкви подобает регулярно совершать богослужения в дни почитания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исповедников, проводить посвященные их памяти церковно-общественные мероприятия (конференции, форумы, съезды), а также вести просветительскую работу в высших учебных заведениях, школах, среди молодежи.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Изучение подвига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 надлежит включить в учебные планы духовных семинарий и училищ с учетом истории региона.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Епархиям, монастырям и приходам рекомендуется в сотрудничестве с государством, музейным сообществом и историками по мере возможности участвовать в создании мемориальных досок, памятников, музеев и комплексов в местах служения, страдания, смерти и погребения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исповедников, инициировать наименование в их честь улиц, площадей, бульваров, скверов. Необходимо продолжать диалог с государством и разъяснительную работу в обществе для того, чтобы в названиях улиц и населенных пунктов не возвеличивались имена лиц, ответственных за организацию преследований и уничтожения неповинных людей, в том числе пострадавших за веру.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Собор обращается к кинематографистам, руководителям телеканалов с призывом создавать документальные и художественные фильмы, а также телевизионные передачи, посвященные подвигу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Церковным средствам массовой информации рекомендуется уделять особое внимание подвигу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исповедников. В целях развития творческой инициативы журналистов, писателей и церковных историков в данном направлении Синодальному информационному отделу и Синодальной комиссии по канонизации святых рекомендуется совместно проработать предложения по использованию различных конкурсов и грантов. Издательскому Совету надлежит поддерживать существующие программы и книжные серии, посвященные подвигу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исповедников, разработать специальную программу издания книг, в том числе для детей и подростков, а также озаботиться распространением уже изданных книг в епархиях Русской Православной Церкви. Епархиальным средствам массовой информации необходимо уделять особое внимание публикации материалов, посвященных подвигу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исповедников, в том числе размещая эти материалы на епархиальных сайтах.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Издательству Московской Патриархии следует незамедлительно публиковать тексты служб </w:t>
      </w:r>
      <w:proofErr w:type="spellStart"/>
      <w:r w:rsidRPr="00075CA6">
        <w:rPr>
          <w:lang w:eastAsia="ru-RU"/>
        </w:rPr>
        <w:t>новомученикам</w:t>
      </w:r>
      <w:proofErr w:type="spellEnd"/>
      <w:r w:rsidRPr="00075CA6">
        <w:rPr>
          <w:lang w:eastAsia="ru-RU"/>
        </w:rPr>
        <w:t xml:space="preserve"> и исповедникам, одобренных Священным Синодом.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>Церковь призывает государственных и общественных деятелей поддержать ее усилия по изучению и увековечению памяти жертв гонений. В частности, она обращается к руководителям учреждений, в чьем ведении находятся архивные документы, с просьбой содействовать скорейшему и полному выявлению сведений о пострадавших в годы гонений. Для этого важно совершенствовать методику научного изучения следственных и судебных дел. Необходимо продолжить диалог с государством о возможности законодательных или административных способов обеспечения доступа уполномоченных представителей Церкви к соответствующим архивам, при условии соблюдения законных требований неразглашения сведений о личной жизни граждан.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Целесообразно сформулировать предложения об объективном отражении темы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 в современных учебниках истории.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Синодальной комиссии по канонизации святых надлежит продумать возможность такого именования каждого </w:t>
      </w:r>
      <w:proofErr w:type="spellStart"/>
      <w:r w:rsidRPr="00075CA6">
        <w:rPr>
          <w:lang w:eastAsia="ru-RU"/>
        </w:rPr>
        <w:t>новомученика</w:t>
      </w:r>
      <w:proofErr w:type="spellEnd"/>
      <w:r w:rsidRPr="00075CA6">
        <w:rPr>
          <w:lang w:eastAsia="ru-RU"/>
        </w:rPr>
        <w:t xml:space="preserve"> или исповедника, в котором бы содержалось упоминание о месте его подвига, занимаемой кафедре или фамилии. Это именование должно </w:t>
      </w:r>
      <w:proofErr w:type="gramStart"/>
      <w:r w:rsidRPr="00075CA6">
        <w:rPr>
          <w:lang w:eastAsia="ru-RU"/>
        </w:rPr>
        <w:t>быть</w:t>
      </w:r>
      <w:proofErr w:type="gramEnd"/>
      <w:r w:rsidRPr="00075CA6">
        <w:rPr>
          <w:lang w:eastAsia="ru-RU"/>
        </w:rPr>
        <w:t xml:space="preserve"> затем включено в официальный календарь Русской Православной Церкви. Данное поручение относится как к уже прославленным </w:t>
      </w:r>
      <w:proofErr w:type="spellStart"/>
      <w:r w:rsidRPr="00075CA6">
        <w:rPr>
          <w:lang w:eastAsia="ru-RU"/>
        </w:rPr>
        <w:t>новомученикам</w:t>
      </w:r>
      <w:proofErr w:type="spellEnd"/>
      <w:r w:rsidRPr="00075CA6">
        <w:rPr>
          <w:lang w:eastAsia="ru-RU"/>
        </w:rPr>
        <w:t xml:space="preserve"> и исповедникам, так и к тем, чьи имена будут включены в Собор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 Российских в будущем.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>Открытие мощей святого и помещение их в храмы может иметь место только при канонизации или после таковой.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При вынесении решения об общецерковной канонизации святого следует утверждать его иконописное изображение. При канонизации </w:t>
      </w:r>
      <w:proofErr w:type="spellStart"/>
      <w:r w:rsidRPr="00075CA6">
        <w:rPr>
          <w:lang w:eastAsia="ru-RU"/>
        </w:rPr>
        <w:t>местночтимого</w:t>
      </w:r>
      <w:proofErr w:type="spellEnd"/>
      <w:r w:rsidRPr="00075CA6">
        <w:rPr>
          <w:lang w:eastAsia="ru-RU"/>
        </w:rPr>
        <w:t xml:space="preserve"> святого его иконописное изображение необходимо представлять на отзыв в Синодальную комиссию по канонизации святых для последующего утверждения Патриархом.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Следует продолжить развитие рабочих контактов епархиальных комиссий с Синодальной комиссией по канонизации святых как на этапе подготовки дел к передаче в </w:t>
      </w:r>
      <w:proofErr w:type="gramStart"/>
      <w:r w:rsidRPr="00075CA6">
        <w:rPr>
          <w:lang w:eastAsia="ru-RU"/>
        </w:rPr>
        <w:t>последнюю</w:t>
      </w:r>
      <w:proofErr w:type="gramEnd"/>
      <w:r w:rsidRPr="00075CA6">
        <w:rPr>
          <w:lang w:eastAsia="ru-RU"/>
        </w:rPr>
        <w:t>, так и при их рассмотрении, что исключило бы появление в Синодальной комиссии дел, заведомо не соответствующих предъявляемым требованиям.</w:t>
      </w:r>
    </w:p>
    <w:p w:rsidR="00075CA6" w:rsidRPr="00075CA6" w:rsidRDefault="00075CA6" w:rsidP="00075CA6">
      <w:pPr>
        <w:pStyle w:val="aa"/>
        <w:numPr>
          <w:ilvl w:val="0"/>
          <w:numId w:val="29"/>
        </w:numPr>
        <w:rPr>
          <w:lang w:eastAsia="ru-RU"/>
        </w:rPr>
      </w:pPr>
      <w:r w:rsidRPr="00075CA6">
        <w:rPr>
          <w:lang w:eastAsia="ru-RU"/>
        </w:rPr>
        <w:t xml:space="preserve">Епархиальным богослужебным комиссиям надлежит усилить работу над составлением служб </w:t>
      </w:r>
      <w:proofErr w:type="spellStart"/>
      <w:r w:rsidRPr="00075CA6">
        <w:rPr>
          <w:lang w:eastAsia="ru-RU"/>
        </w:rPr>
        <w:t>новомученикам</w:t>
      </w:r>
      <w:proofErr w:type="spellEnd"/>
      <w:r w:rsidRPr="00075CA6">
        <w:rPr>
          <w:lang w:eastAsia="ru-RU"/>
        </w:rPr>
        <w:t xml:space="preserve"> и исповедникам, служившим или пострадавшим в данной епархии, и представлять их на рецензирование в Синодальную богослужебную комиссию.</w:t>
      </w:r>
    </w:p>
    <w:p w:rsidR="00075CA6" w:rsidRPr="00075CA6" w:rsidRDefault="00075CA6" w:rsidP="00075CA6">
      <w:pPr>
        <w:rPr>
          <w:lang w:eastAsia="ru-RU"/>
        </w:rPr>
      </w:pPr>
      <w:r w:rsidRPr="00075CA6">
        <w:rPr>
          <w:lang w:eastAsia="ru-RU"/>
        </w:rPr>
        <w:t>Собор выражает уверенность в том, что совместные действия Церкви, государства и общества, направленные на увековечение памяти жертв гонений за веру, помогут изменить к лучшему нравственное состояние людей.</w:t>
      </w:r>
    </w:p>
    <w:p w:rsidR="00075CA6" w:rsidRPr="00075CA6" w:rsidRDefault="00075CA6" w:rsidP="00075CA6">
      <w:pPr>
        <w:rPr>
          <w:lang w:eastAsia="ru-RU"/>
        </w:rPr>
      </w:pPr>
      <w:r w:rsidRPr="00075CA6">
        <w:rPr>
          <w:lang w:eastAsia="ru-RU"/>
        </w:rPr>
        <w:t xml:space="preserve">Памятуя слова церковного писателя III века Тертуллиана — «кровь мучеников есть семя христианства», Собор призывает всех членов Церкви быть по духу верными наследниками </w:t>
      </w:r>
      <w:proofErr w:type="spellStart"/>
      <w:r w:rsidRPr="00075CA6">
        <w:rPr>
          <w:lang w:eastAsia="ru-RU"/>
        </w:rPr>
        <w:t>новомучеников</w:t>
      </w:r>
      <w:proofErr w:type="spellEnd"/>
      <w:r w:rsidRPr="00075CA6">
        <w:rPr>
          <w:lang w:eastAsia="ru-RU"/>
        </w:rPr>
        <w:t xml:space="preserve"> и исповедников, твердо стоять в подвиге жертвенного свидетельства Истины, не отступать от нее, </w:t>
      </w:r>
      <w:proofErr w:type="gramStart"/>
      <w:r w:rsidRPr="00075CA6">
        <w:rPr>
          <w:lang w:eastAsia="ru-RU"/>
        </w:rPr>
        <w:t>малодушно</w:t>
      </w:r>
      <w:proofErr w:type="gramEnd"/>
      <w:r w:rsidRPr="00075CA6">
        <w:rPr>
          <w:lang w:eastAsia="ru-RU"/>
        </w:rPr>
        <w:t xml:space="preserve"> пугаясь вызовов мира, все более удаляющегося от Христа.</w:t>
      </w:r>
    </w:p>
    <w:p w:rsidR="00075CA6" w:rsidRPr="00075CA6" w:rsidRDefault="00075CA6" w:rsidP="00075CA6">
      <w:pPr>
        <w:spacing w:before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75CA6">
        <w:rPr>
          <w:rFonts w:eastAsia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075CA6" w:rsidRPr="00075CA6" w:rsidRDefault="00075CA6" w:rsidP="00075CA6">
      <w:pPr>
        <w:numPr>
          <w:ilvl w:val="0"/>
          <w:numId w:val="28"/>
        </w:numPr>
        <w:ind w:left="0" w:hanging="357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Первоначальный проект данного документа был составлен комиссией </w:t>
      </w:r>
      <w:proofErr w:type="spellStart"/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Межсоборного</w:t>
      </w:r>
      <w:proofErr w:type="spellEnd"/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присутствия по вопросам взаимодействия Церкви, государства и общества в период с 29 января 2010 г. по 1 октября 2010 г.</w:t>
      </w:r>
    </w:p>
    <w:p w:rsidR="00075CA6" w:rsidRPr="00075CA6" w:rsidRDefault="00075CA6" w:rsidP="00075CA6">
      <w:pPr>
        <w:numPr>
          <w:ilvl w:val="0"/>
          <w:numId w:val="28"/>
        </w:numPr>
        <w:ind w:left="0" w:hanging="357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16 декабря 2010 г. проект был рассмотрен и принят в первом чтении президиумом </w:t>
      </w:r>
      <w:proofErr w:type="spellStart"/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Межсоборного</w:t>
      </w:r>
      <w:proofErr w:type="spellEnd"/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075CA6" w:rsidRPr="00075CA6" w:rsidRDefault="00075CA6" w:rsidP="00075CA6">
      <w:pPr>
        <w:numPr>
          <w:ilvl w:val="0"/>
          <w:numId w:val="28"/>
        </w:numPr>
        <w:ind w:left="0" w:hanging="357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Проект был переработан редакционной комиссией под председательством Патриарха в ее заседаниях 25-27 января 2011 г. с учетом комментариев и предложений, поступивших из епархий или выраженных в ходе общественной дискуссии.</w:t>
      </w:r>
    </w:p>
    <w:p w:rsidR="00075CA6" w:rsidRPr="00075CA6" w:rsidRDefault="00075CA6" w:rsidP="00075CA6">
      <w:pPr>
        <w:numPr>
          <w:ilvl w:val="0"/>
          <w:numId w:val="28"/>
        </w:numPr>
        <w:ind w:left="0" w:hanging="357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Пленум </w:t>
      </w:r>
      <w:proofErr w:type="spellStart"/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Межсоборного</w:t>
      </w:r>
      <w:proofErr w:type="spellEnd"/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присутствия, заседавший 28-29 января 2011 г. под председательством Патриарха, внес поправки в проект документа и постановил представить его на Священный Синод для последующего рассмотрения на Архиерейском Соборе.</w:t>
      </w:r>
    </w:p>
    <w:p w:rsidR="00075CA6" w:rsidRPr="00075CA6" w:rsidRDefault="00075CA6" w:rsidP="00075CA6">
      <w:pPr>
        <w:numPr>
          <w:ilvl w:val="0"/>
          <w:numId w:val="28"/>
        </w:numPr>
        <w:ind w:left="0" w:hanging="357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Священный Синод в своем заседании от 31 января 2011 г. определил включить документ в повестку дня Архиерейского Собора.</w:t>
      </w:r>
    </w:p>
    <w:p w:rsidR="00075CA6" w:rsidRPr="00075CA6" w:rsidRDefault="00075CA6" w:rsidP="00075CA6">
      <w:pPr>
        <w:numPr>
          <w:ilvl w:val="0"/>
          <w:numId w:val="28"/>
        </w:numPr>
        <w:ind w:left="0" w:hanging="357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75C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 февраля 2011 г. Освященный Архиерейский Собор, внеся поправки, принял документ.</w:t>
      </w:r>
    </w:p>
    <w:p w:rsidR="003110F4" w:rsidRPr="003110F4" w:rsidRDefault="003110F4" w:rsidP="00075CA6">
      <w:pPr>
        <w:rPr>
          <w:lang w:eastAsia="ru-RU"/>
        </w:rPr>
      </w:pPr>
    </w:p>
    <w:sectPr w:rsidR="003110F4" w:rsidRPr="003110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7" w:rsidRDefault="008F1447" w:rsidP="000C6C13">
      <w:pPr>
        <w:spacing w:before="0"/>
      </w:pPr>
      <w:r>
        <w:separator/>
      </w:r>
    </w:p>
  </w:endnote>
  <w:endnote w:type="continuationSeparator" w:id="0">
    <w:p w:rsidR="008F1447" w:rsidRDefault="008F1447" w:rsidP="000C6C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3929"/>
      <w:docPartObj>
        <w:docPartGallery w:val="Page Numbers (Bottom of Page)"/>
        <w:docPartUnique/>
      </w:docPartObj>
    </w:sdtPr>
    <w:sdtContent>
      <w:p w:rsidR="008F1447" w:rsidRDefault="008F1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A6">
          <w:rPr>
            <w:noProof/>
          </w:rPr>
          <w:t>2</w:t>
        </w:r>
        <w:r>
          <w:fldChar w:fldCharType="end"/>
        </w:r>
      </w:p>
    </w:sdtContent>
  </w:sdt>
  <w:p w:rsidR="008F1447" w:rsidRDefault="008F1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7" w:rsidRDefault="008F1447" w:rsidP="000C6C13">
      <w:pPr>
        <w:spacing w:before="0"/>
      </w:pPr>
      <w:r>
        <w:separator/>
      </w:r>
    </w:p>
  </w:footnote>
  <w:footnote w:type="continuationSeparator" w:id="0">
    <w:p w:rsidR="008F1447" w:rsidRDefault="008F1447" w:rsidP="000C6C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42F"/>
    <w:multiLevelType w:val="multilevel"/>
    <w:tmpl w:val="F8F2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8D"/>
    <w:multiLevelType w:val="hybridMultilevel"/>
    <w:tmpl w:val="B57274AC"/>
    <w:lvl w:ilvl="0" w:tplc="A1CA68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B497D"/>
    <w:multiLevelType w:val="hybridMultilevel"/>
    <w:tmpl w:val="55CA96D6"/>
    <w:lvl w:ilvl="0" w:tplc="61CC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F1AC6"/>
    <w:multiLevelType w:val="hybridMultilevel"/>
    <w:tmpl w:val="A28C453C"/>
    <w:lvl w:ilvl="0" w:tplc="62DCE9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5305F6"/>
    <w:multiLevelType w:val="hybridMultilevel"/>
    <w:tmpl w:val="B9C40E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4784A"/>
    <w:multiLevelType w:val="hybridMultilevel"/>
    <w:tmpl w:val="F59E49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C11A14"/>
    <w:multiLevelType w:val="multilevel"/>
    <w:tmpl w:val="440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90266"/>
    <w:multiLevelType w:val="hybridMultilevel"/>
    <w:tmpl w:val="7278D966"/>
    <w:lvl w:ilvl="0" w:tplc="62DCE9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FA1AFE"/>
    <w:multiLevelType w:val="hybridMultilevel"/>
    <w:tmpl w:val="92EA867A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51F94"/>
    <w:multiLevelType w:val="hybridMultilevel"/>
    <w:tmpl w:val="3FD663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3E3FD6"/>
    <w:multiLevelType w:val="hybridMultilevel"/>
    <w:tmpl w:val="51CEDA42"/>
    <w:lvl w:ilvl="0" w:tplc="B50E68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AC09F6"/>
    <w:multiLevelType w:val="multilevel"/>
    <w:tmpl w:val="926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31E02"/>
    <w:multiLevelType w:val="multilevel"/>
    <w:tmpl w:val="C40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92C11"/>
    <w:multiLevelType w:val="hybridMultilevel"/>
    <w:tmpl w:val="A1AEF7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41FE5"/>
    <w:multiLevelType w:val="hybridMultilevel"/>
    <w:tmpl w:val="B2808F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25132A"/>
    <w:multiLevelType w:val="hybridMultilevel"/>
    <w:tmpl w:val="0D62B766"/>
    <w:lvl w:ilvl="0" w:tplc="93E65E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545165"/>
    <w:multiLevelType w:val="hybridMultilevel"/>
    <w:tmpl w:val="1AD0DBF6"/>
    <w:lvl w:ilvl="0" w:tplc="4C98B0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C66745"/>
    <w:multiLevelType w:val="multilevel"/>
    <w:tmpl w:val="222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A26EF"/>
    <w:multiLevelType w:val="multilevel"/>
    <w:tmpl w:val="958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703C9"/>
    <w:multiLevelType w:val="hybridMultilevel"/>
    <w:tmpl w:val="ABBCE5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661FA"/>
    <w:multiLevelType w:val="hybridMultilevel"/>
    <w:tmpl w:val="F648B3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CD2295"/>
    <w:multiLevelType w:val="hybridMultilevel"/>
    <w:tmpl w:val="C5C6C8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0D7430"/>
    <w:multiLevelType w:val="hybridMultilevel"/>
    <w:tmpl w:val="C99E5896"/>
    <w:lvl w:ilvl="0" w:tplc="AC58216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85B30"/>
    <w:multiLevelType w:val="hybridMultilevel"/>
    <w:tmpl w:val="1AE40FA2"/>
    <w:lvl w:ilvl="0" w:tplc="62DCE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A818D0"/>
    <w:multiLevelType w:val="hybridMultilevel"/>
    <w:tmpl w:val="4822A9BA"/>
    <w:lvl w:ilvl="0" w:tplc="AE38446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A02197"/>
    <w:multiLevelType w:val="hybridMultilevel"/>
    <w:tmpl w:val="A33015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AF66E5"/>
    <w:multiLevelType w:val="hybridMultilevel"/>
    <w:tmpl w:val="7EB434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FB010B"/>
    <w:multiLevelType w:val="hybridMultilevel"/>
    <w:tmpl w:val="0AC6B3CA"/>
    <w:lvl w:ilvl="0" w:tplc="CBE237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D47623"/>
    <w:multiLevelType w:val="hybridMultilevel"/>
    <w:tmpl w:val="F04AE826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11"/>
  </w:num>
  <w:num w:numId="5">
    <w:abstractNumId w:val="23"/>
  </w:num>
  <w:num w:numId="6">
    <w:abstractNumId w:val="9"/>
  </w:num>
  <w:num w:numId="7">
    <w:abstractNumId w:val="27"/>
  </w:num>
  <w:num w:numId="8">
    <w:abstractNumId w:val="13"/>
  </w:num>
  <w:num w:numId="9">
    <w:abstractNumId w:val="10"/>
  </w:num>
  <w:num w:numId="10">
    <w:abstractNumId w:val="21"/>
  </w:num>
  <w:num w:numId="11">
    <w:abstractNumId w:val="2"/>
  </w:num>
  <w:num w:numId="12">
    <w:abstractNumId w:val="4"/>
  </w:num>
  <w:num w:numId="13">
    <w:abstractNumId w:val="15"/>
  </w:num>
  <w:num w:numId="14">
    <w:abstractNumId w:val="20"/>
  </w:num>
  <w:num w:numId="15">
    <w:abstractNumId w:val="16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25"/>
  </w:num>
  <w:num w:numId="21">
    <w:abstractNumId w:val="1"/>
  </w:num>
  <w:num w:numId="22">
    <w:abstractNumId w:val="14"/>
  </w:num>
  <w:num w:numId="23">
    <w:abstractNumId w:val="22"/>
  </w:num>
  <w:num w:numId="24">
    <w:abstractNumId w:val="7"/>
  </w:num>
  <w:num w:numId="25">
    <w:abstractNumId w:val="5"/>
  </w:num>
  <w:num w:numId="26">
    <w:abstractNumId w:val="24"/>
  </w:num>
  <w:num w:numId="27">
    <w:abstractNumId w:val="17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C"/>
    <w:rsid w:val="00075CA6"/>
    <w:rsid w:val="000C6C13"/>
    <w:rsid w:val="000E62ED"/>
    <w:rsid w:val="00112217"/>
    <w:rsid w:val="00183ED0"/>
    <w:rsid w:val="00210C25"/>
    <w:rsid w:val="00271BCC"/>
    <w:rsid w:val="003110F4"/>
    <w:rsid w:val="00332CDE"/>
    <w:rsid w:val="00345E56"/>
    <w:rsid w:val="00432035"/>
    <w:rsid w:val="00437E6D"/>
    <w:rsid w:val="0052719B"/>
    <w:rsid w:val="00531757"/>
    <w:rsid w:val="005529B7"/>
    <w:rsid w:val="005F0406"/>
    <w:rsid w:val="006017EB"/>
    <w:rsid w:val="006765CC"/>
    <w:rsid w:val="00684740"/>
    <w:rsid w:val="007449D5"/>
    <w:rsid w:val="008944C2"/>
    <w:rsid w:val="008E789C"/>
    <w:rsid w:val="008F1447"/>
    <w:rsid w:val="0099391D"/>
    <w:rsid w:val="00A83A48"/>
    <w:rsid w:val="00E44908"/>
    <w:rsid w:val="00F00E9C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3110F4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0F4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3110F4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0F4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767F-E380-441C-B67D-F743F635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eug774</dc:creator>
  <cp:lastModifiedBy>eug774</cp:lastModifiedBy>
  <cp:revision>3</cp:revision>
  <dcterms:created xsi:type="dcterms:W3CDTF">2018-10-01T11:37:00Z</dcterms:created>
  <dcterms:modified xsi:type="dcterms:W3CDTF">2018-10-01T11:40:00Z</dcterms:modified>
</cp:coreProperties>
</file>